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42" w:rsidRPr="002A1083" w:rsidRDefault="00242742" w:rsidP="00242742">
      <w:pPr>
        <w:pStyle w:val="Default"/>
        <w:jc w:val="center"/>
        <w:rPr>
          <w:b/>
          <w:i/>
          <w:sz w:val="22"/>
          <w:szCs w:val="22"/>
        </w:rPr>
      </w:pPr>
      <w:r w:rsidRPr="002A1083">
        <w:rPr>
          <w:b/>
          <w:i/>
          <w:sz w:val="22"/>
          <w:szCs w:val="22"/>
        </w:rPr>
        <w:t xml:space="preserve">Evaluation of </w:t>
      </w:r>
      <w:r w:rsidR="0054332D" w:rsidRPr="002A1083">
        <w:rPr>
          <w:b/>
          <w:i/>
          <w:sz w:val="22"/>
          <w:szCs w:val="22"/>
        </w:rPr>
        <w:t>January Ethics</w:t>
      </w:r>
      <w:r w:rsidRPr="002A1083">
        <w:rPr>
          <w:b/>
          <w:i/>
          <w:sz w:val="22"/>
          <w:szCs w:val="22"/>
        </w:rPr>
        <w:t xml:space="preserve"> Training</w:t>
      </w:r>
    </w:p>
    <w:p w:rsidR="00242742" w:rsidRPr="002A1083" w:rsidRDefault="002A1083" w:rsidP="00242742">
      <w:pPr>
        <w:pStyle w:val="Default"/>
        <w:jc w:val="center"/>
        <w:rPr>
          <w:b/>
          <w:i/>
          <w:sz w:val="22"/>
          <w:szCs w:val="22"/>
        </w:rPr>
      </w:pPr>
      <w:r>
        <w:rPr>
          <w:b/>
          <w:i/>
          <w:sz w:val="22"/>
          <w:szCs w:val="22"/>
        </w:rPr>
        <w:t>September 27, 2019</w:t>
      </w:r>
    </w:p>
    <w:p w:rsidR="00242742" w:rsidRPr="002A1083" w:rsidRDefault="00242742" w:rsidP="00242742">
      <w:pPr>
        <w:pStyle w:val="Default"/>
        <w:jc w:val="center"/>
        <w:rPr>
          <w:b/>
          <w:i/>
          <w:sz w:val="22"/>
          <w:szCs w:val="22"/>
        </w:rPr>
      </w:pPr>
      <w:r w:rsidRPr="002A1083">
        <w:rPr>
          <w:b/>
          <w:i/>
          <w:sz w:val="22"/>
          <w:szCs w:val="22"/>
        </w:rPr>
        <w:t>Essay Assignment</w:t>
      </w:r>
    </w:p>
    <w:p w:rsidR="00242742" w:rsidRPr="002A1083" w:rsidRDefault="00242742" w:rsidP="00242742">
      <w:pPr>
        <w:pStyle w:val="Default"/>
        <w:jc w:val="center"/>
        <w:rPr>
          <w:sz w:val="22"/>
          <w:szCs w:val="22"/>
        </w:rPr>
      </w:pPr>
    </w:p>
    <w:p w:rsidR="00242742" w:rsidRPr="002A1083" w:rsidRDefault="00242742" w:rsidP="00242742">
      <w:pPr>
        <w:pStyle w:val="Default"/>
        <w:rPr>
          <w:sz w:val="22"/>
          <w:szCs w:val="22"/>
        </w:rPr>
      </w:pPr>
      <w:r w:rsidRPr="002A1083">
        <w:rPr>
          <w:sz w:val="22"/>
          <w:szCs w:val="22"/>
        </w:rPr>
        <w:t xml:space="preserve">Due: </w:t>
      </w:r>
      <w:r w:rsidR="0011108D" w:rsidRPr="002A1083">
        <w:rPr>
          <w:sz w:val="22"/>
          <w:szCs w:val="22"/>
        </w:rPr>
        <w:t>Friday, October 11</w:t>
      </w:r>
      <w:r w:rsidR="0054332D" w:rsidRPr="002A1083">
        <w:rPr>
          <w:sz w:val="22"/>
          <w:szCs w:val="22"/>
        </w:rPr>
        <w:t xml:space="preserve">, </w:t>
      </w:r>
      <w:r w:rsidR="001149E2">
        <w:rPr>
          <w:sz w:val="22"/>
          <w:szCs w:val="22"/>
        </w:rPr>
        <w:t xml:space="preserve">2019 </w:t>
      </w:r>
      <w:r w:rsidRPr="002A1083">
        <w:rPr>
          <w:sz w:val="22"/>
          <w:szCs w:val="22"/>
        </w:rPr>
        <w:t xml:space="preserve">at </w:t>
      </w:r>
      <w:r w:rsidR="0011108D" w:rsidRPr="002A1083">
        <w:rPr>
          <w:sz w:val="22"/>
          <w:szCs w:val="22"/>
        </w:rPr>
        <w:t>4</w:t>
      </w:r>
      <w:r w:rsidRPr="002A1083">
        <w:rPr>
          <w:sz w:val="22"/>
          <w:szCs w:val="22"/>
        </w:rPr>
        <w:t xml:space="preserve">:00 </w:t>
      </w:r>
      <w:r w:rsidR="0011108D" w:rsidRPr="002A1083">
        <w:rPr>
          <w:sz w:val="22"/>
          <w:szCs w:val="22"/>
        </w:rPr>
        <w:t>p</w:t>
      </w:r>
      <w:r w:rsidRPr="002A1083">
        <w:rPr>
          <w:sz w:val="22"/>
          <w:szCs w:val="22"/>
        </w:rPr>
        <w:t>m (</w:t>
      </w:r>
      <w:r w:rsidRPr="002A1083">
        <w:rPr>
          <w:i/>
          <w:sz w:val="22"/>
          <w:szCs w:val="22"/>
        </w:rPr>
        <w:t>via</w:t>
      </w:r>
      <w:r w:rsidRPr="002A1083">
        <w:rPr>
          <w:sz w:val="22"/>
          <w:szCs w:val="22"/>
        </w:rPr>
        <w:t xml:space="preserve"> assignments.law@utoronto.ca). </w:t>
      </w:r>
      <w:r w:rsidR="00553C99" w:rsidRPr="002A1083">
        <w:rPr>
          <w:sz w:val="22"/>
          <w:szCs w:val="22"/>
        </w:rPr>
        <w:t xml:space="preserve"> </w:t>
      </w:r>
      <w:r w:rsidRPr="002A1083">
        <w:rPr>
          <w:sz w:val="22"/>
          <w:szCs w:val="22"/>
        </w:rPr>
        <w:t xml:space="preserve">500 word limit—approximately 250 words for each question. Please use the Faculty of Law written work cover page, identify yourself by your pseudonym, and be sure to include the word count.  These essays will be marked on a credit/no credit scale.  </w:t>
      </w:r>
    </w:p>
    <w:p w:rsidR="00553C99" w:rsidRPr="002A1083" w:rsidRDefault="00553C99" w:rsidP="00242742">
      <w:pPr>
        <w:pStyle w:val="Default"/>
        <w:rPr>
          <w:sz w:val="22"/>
          <w:szCs w:val="22"/>
        </w:rPr>
      </w:pPr>
    </w:p>
    <w:p w:rsidR="00242742" w:rsidRPr="002A1083" w:rsidRDefault="00242742" w:rsidP="0054332D">
      <w:pPr>
        <w:pStyle w:val="Default"/>
        <w:rPr>
          <w:color w:val="auto"/>
          <w:sz w:val="22"/>
          <w:szCs w:val="22"/>
        </w:rPr>
      </w:pPr>
      <w:r w:rsidRPr="002A1083">
        <w:rPr>
          <w:sz w:val="22"/>
          <w:szCs w:val="22"/>
        </w:rPr>
        <w:t xml:space="preserve">Please </w:t>
      </w:r>
      <w:r w:rsidRPr="002A1083">
        <w:rPr>
          <w:color w:val="auto"/>
          <w:sz w:val="22"/>
          <w:szCs w:val="22"/>
        </w:rPr>
        <w:t xml:space="preserve">choose </w:t>
      </w:r>
      <w:r w:rsidRPr="002A1083">
        <w:rPr>
          <w:b/>
          <w:bCs/>
          <w:color w:val="auto"/>
          <w:sz w:val="22"/>
          <w:szCs w:val="22"/>
        </w:rPr>
        <w:t xml:space="preserve">two </w:t>
      </w:r>
      <w:r w:rsidRPr="002A1083">
        <w:rPr>
          <w:color w:val="auto"/>
          <w:sz w:val="22"/>
          <w:szCs w:val="22"/>
        </w:rPr>
        <w:t xml:space="preserve">of the following </w:t>
      </w:r>
      <w:r w:rsidR="002339BE" w:rsidRPr="002A1083">
        <w:rPr>
          <w:bCs/>
          <w:color w:val="auto"/>
          <w:sz w:val="22"/>
          <w:szCs w:val="22"/>
        </w:rPr>
        <w:t>four</w:t>
      </w:r>
      <w:r w:rsidRPr="002A1083">
        <w:rPr>
          <w:b/>
          <w:bCs/>
          <w:color w:val="auto"/>
          <w:sz w:val="22"/>
          <w:szCs w:val="22"/>
        </w:rPr>
        <w:t xml:space="preserve"> </w:t>
      </w:r>
      <w:r w:rsidRPr="002A1083">
        <w:rPr>
          <w:color w:val="auto"/>
          <w:sz w:val="22"/>
          <w:szCs w:val="22"/>
        </w:rPr>
        <w:t>questions to answer:</w:t>
      </w:r>
    </w:p>
    <w:p w:rsidR="00242742" w:rsidRPr="002A1083" w:rsidRDefault="00242742" w:rsidP="0054332D">
      <w:pPr>
        <w:pStyle w:val="Default"/>
        <w:rPr>
          <w:color w:val="auto"/>
          <w:sz w:val="22"/>
          <w:szCs w:val="22"/>
        </w:rPr>
      </w:pPr>
    </w:p>
    <w:p w:rsidR="00242742" w:rsidRPr="002A1083" w:rsidRDefault="00242742" w:rsidP="0054332D">
      <w:pPr>
        <w:spacing w:line="240" w:lineRule="auto"/>
        <w:rPr>
          <w:rFonts w:cs="Times New Roman"/>
          <w:b/>
        </w:rPr>
      </w:pPr>
      <w:r w:rsidRPr="002A1083">
        <w:rPr>
          <w:rFonts w:cs="Times New Roman"/>
          <w:b/>
        </w:rPr>
        <w:t>Question 1:</w:t>
      </w:r>
    </w:p>
    <w:p w:rsidR="00F01211" w:rsidRPr="002A1083" w:rsidRDefault="00F01211" w:rsidP="00F01211">
      <w:pPr>
        <w:pStyle w:val="PlainText"/>
        <w:tabs>
          <w:tab w:val="left" w:pos="8571"/>
        </w:tabs>
        <w:rPr>
          <w:rFonts w:cs="Times New Roman"/>
          <w:color w:val="auto"/>
          <w:szCs w:val="22"/>
        </w:rPr>
      </w:pPr>
      <w:r w:rsidRPr="002A1083">
        <w:rPr>
          <w:rFonts w:cs="Times New Roman"/>
          <w:color w:val="auto"/>
          <w:szCs w:val="22"/>
        </w:rPr>
        <w:tab/>
      </w:r>
    </w:p>
    <w:p w:rsidR="001149E2" w:rsidRDefault="002A1083" w:rsidP="00F01211">
      <w:pPr>
        <w:pStyle w:val="PlainText"/>
        <w:tabs>
          <w:tab w:val="left" w:pos="8571"/>
        </w:tabs>
        <w:rPr>
          <w:rFonts w:cs="Times New Roman"/>
          <w:color w:val="auto"/>
          <w:szCs w:val="22"/>
        </w:rPr>
      </w:pPr>
      <w:r w:rsidRPr="002A1083">
        <w:rPr>
          <w:rFonts w:cs="Times New Roman"/>
          <w:color w:val="auto"/>
          <w:szCs w:val="22"/>
        </w:rPr>
        <w:t>Naama</w:t>
      </w:r>
      <w:r w:rsidR="0011108D" w:rsidRPr="002A1083">
        <w:rPr>
          <w:rFonts w:cs="Times New Roman"/>
          <w:color w:val="auto"/>
          <w:szCs w:val="22"/>
        </w:rPr>
        <w:t xml:space="preserve"> and Sean are discussing the </w:t>
      </w:r>
      <w:r w:rsidR="001149E2">
        <w:rPr>
          <w:rFonts w:cs="Times New Roman"/>
          <w:color w:val="auto"/>
          <w:szCs w:val="22"/>
        </w:rPr>
        <w:t>p</w:t>
      </w:r>
      <w:r w:rsidR="0011108D" w:rsidRPr="002A1083">
        <w:rPr>
          <w:rFonts w:cs="Times New Roman"/>
          <w:color w:val="auto"/>
          <w:szCs w:val="22"/>
        </w:rPr>
        <w:t>roblem Justice Sossin posed on slide</w:t>
      </w:r>
      <w:r w:rsidRPr="002A1083">
        <w:rPr>
          <w:rFonts w:cs="Times New Roman"/>
          <w:color w:val="auto"/>
          <w:szCs w:val="22"/>
        </w:rPr>
        <w:t xml:space="preserve">s 4 and </w:t>
      </w:r>
      <w:r w:rsidR="0011108D" w:rsidRPr="002A1083">
        <w:rPr>
          <w:rFonts w:cs="Times New Roman"/>
          <w:color w:val="auto"/>
          <w:szCs w:val="22"/>
        </w:rPr>
        <w:t xml:space="preserve">5.  Sean asserts that if, in the end, Sepia was able to rebut the presumption that she had ever received confidential information attributable to the confidential relationship between </w:t>
      </w:r>
      <w:r w:rsidRPr="002A1083">
        <w:rPr>
          <w:rFonts w:cs="Times New Roman"/>
          <w:color w:val="auto"/>
          <w:szCs w:val="22"/>
        </w:rPr>
        <w:t xml:space="preserve">the Vancouver BMB office and the defendant company, then it was actually wrong of BMB to bring the motion to have </w:t>
      </w:r>
      <w:proofErr w:type="spellStart"/>
      <w:r w:rsidRPr="002A1083">
        <w:rPr>
          <w:rFonts w:cs="Times New Roman"/>
          <w:color w:val="auto"/>
          <w:szCs w:val="22"/>
        </w:rPr>
        <w:t>ELAC</w:t>
      </w:r>
      <w:proofErr w:type="spellEnd"/>
      <w:r w:rsidRPr="002A1083">
        <w:rPr>
          <w:rFonts w:cs="Times New Roman"/>
          <w:color w:val="auto"/>
          <w:szCs w:val="22"/>
        </w:rPr>
        <w:t xml:space="preserve"> disqualified</w:t>
      </w:r>
      <w:r w:rsidR="001149E2">
        <w:rPr>
          <w:rFonts w:cs="Times New Roman"/>
          <w:color w:val="auto"/>
          <w:szCs w:val="22"/>
        </w:rPr>
        <w:t xml:space="preserve"> in the first place</w:t>
      </w:r>
      <w:r w:rsidRPr="002A1083">
        <w:rPr>
          <w:rFonts w:cs="Times New Roman"/>
          <w:color w:val="auto"/>
          <w:szCs w:val="22"/>
        </w:rPr>
        <w:t xml:space="preserve">.  Sean insists BMB must have brought </w:t>
      </w:r>
      <w:r w:rsidR="001149E2">
        <w:rPr>
          <w:rFonts w:cs="Times New Roman"/>
          <w:color w:val="auto"/>
          <w:szCs w:val="22"/>
        </w:rPr>
        <w:t xml:space="preserve">that </w:t>
      </w:r>
      <w:r w:rsidRPr="002A1083">
        <w:rPr>
          <w:rFonts w:cs="Times New Roman"/>
          <w:color w:val="auto"/>
          <w:szCs w:val="22"/>
        </w:rPr>
        <w:t>motion</w:t>
      </w:r>
      <w:r w:rsidR="001149E2">
        <w:rPr>
          <w:rFonts w:cs="Times New Roman"/>
          <w:color w:val="auto"/>
          <w:szCs w:val="22"/>
        </w:rPr>
        <w:t xml:space="preserve"> to disqualify</w:t>
      </w:r>
      <w:r w:rsidRPr="002A1083">
        <w:rPr>
          <w:rFonts w:cs="Times New Roman"/>
          <w:color w:val="auto"/>
          <w:szCs w:val="22"/>
        </w:rPr>
        <w:t xml:space="preserve"> in bad faith.  </w:t>
      </w:r>
    </w:p>
    <w:p w:rsidR="001149E2" w:rsidRDefault="001149E2" w:rsidP="00F01211">
      <w:pPr>
        <w:pStyle w:val="PlainText"/>
        <w:tabs>
          <w:tab w:val="left" w:pos="8571"/>
        </w:tabs>
        <w:rPr>
          <w:rFonts w:cs="Times New Roman"/>
          <w:color w:val="auto"/>
          <w:szCs w:val="22"/>
        </w:rPr>
      </w:pPr>
    </w:p>
    <w:p w:rsidR="001149E2" w:rsidRDefault="002A1083" w:rsidP="00F01211">
      <w:pPr>
        <w:pStyle w:val="PlainText"/>
        <w:tabs>
          <w:tab w:val="left" w:pos="8571"/>
        </w:tabs>
        <w:rPr>
          <w:rFonts w:cs="Times New Roman"/>
          <w:color w:val="auto"/>
          <w:szCs w:val="22"/>
        </w:rPr>
      </w:pPr>
      <w:r w:rsidRPr="002A1083">
        <w:rPr>
          <w:rFonts w:cs="Times New Roman"/>
          <w:color w:val="auto"/>
          <w:szCs w:val="22"/>
        </w:rPr>
        <w:t xml:space="preserve">Naama is not sure Sean is right about that.   </w:t>
      </w:r>
      <w:r w:rsidR="0011108D" w:rsidRPr="002A1083">
        <w:rPr>
          <w:rFonts w:cs="Times New Roman"/>
          <w:color w:val="auto"/>
          <w:szCs w:val="22"/>
        </w:rPr>
        <w:t xml:space="preserve"> </w:t>
      </w:r>
    </w:p>
    <w:p w:rsidR="001149E2" w:rsidRDefault="001149E2" w:rsidP="00F01211">
      <w:pPr>
        <w:pStyle w:val="PlainText"/>
        <w:tabs>
          <w:tab w:val="left" w:pos="8571"/>
        </w:tabs>
        <w:rPr>
          <w:rFonts w:cs="Times New Roman"/>
          <w:color w:val="auto"/>
          <w:szCs w:val="22"/>
        </w:rPr>
      </w:pPr>
    </w:p>
    <w:p w:rsidR="002339BE" w:rsidRPr="002A1083" w:rsidRDefault="002A1083" w:rsidP="00F01211">
      <w:pPr>
        <w:pStyle w:val="PlainText"/>
        <w:tabs>
          <w:tab w:val="left" w:pos="8571"/>
        </w:tabs>
        <w:rPr>
          <w:rFonts w:cs="Times New Roman"/>
          <w:color w:val="auto"/>
          <w:szCs w:val="22"/>
        </w:rPr>
      </w:pPr>
      <w:r w:rsidRPr="002A1083">
        <w:rPr>
          <w:rFonts w:cs="Times New Roman"/>
          <w:color w:val="auto"/>
          <w:szCs w:val="22"/>
        </w:rPr>
        <w:t>What is the b</w:t>
      </w:r>
      <w:r w:rsidR="001149E2">
        <w:rPr>
          <w:rFonts w:cs="Times New Roman"/>
          <w:color w:val="auto"/>
          <w:szCs w:val="22"/>
        </w:rPr>
        <w:t>est argument that Sean can make?  What Rule(s) of Professional Conduct might support his argument?  W</w:t>
      </w:r>
      <w:r w:rsidRPr="002A1083">
        <w:rPr>
          <w:rFonts w:cs="Times New Roman"/>
          <w:color w:val="auto"/>
          <w:szCs w:val="22"/>
        </w:rPr>
        <w:t xml:space="preserve">hat would be </w:t>
      </w:r>
      <w:proofErr w:type="spellStart"/>
      <w:r w:rsidRPr="002A1083">
        <w:rPr>
          <w:rFonts w:cs="Times New Roman"/>
          <w:color w:val="auto"/>
          <w:szCs w:val="22"/>
        </w:rPr>
        <w:t>Naa</w:t>
      </w:r>
      <w:r>
        <w:rPr>
          <w:rFonts w:cs="Times New Roman"/>
          <w:color w:val="auto"/>
          <w:szCs w:val="22"/>
        </w:rPr>
        <w:t>m</w:t>
      </w:r>
      <w:r w:rsidRPr="002A1083">
        <w:rPr>
          <w:rFonts w:cs="Times New Roman"/>
          <w:color w:val="auto"/>
          <w:szCs w:val="22"/>
        </w:rPr>
        <w:t>a’s</w:t>
      </w:r>
      <w:proofErr w:type="spellEnd"/>
      <w:r w:rsidRPr="002A1083">
        <w:rPr>
          <w:rFonts w:cs="Times New Roman"/>
          <w:color w:val="auto"/>
          <w:szCs w:val="22"/>
        </w:rPr>
        <w:t xml:space="preserve"> most effective counterargument?</w:t>
      </w:r>
    </w:p>
    <w:p w:rsidR="0011108D" w:rsidRPr="002A1083" w:rsidRDefault="0011108D" w:rsidP="00F01211">
      <w:pPr>
        <w:pStyle w:val="PlainText"/>
        <w:tabs>
          <w:tab w:val="left" w:pos="8571"/>
        </w:tabs>
        <w:rPr>
          <w:rFonts w:cs="Times New Roman"/>
          <w:color w:val="auto"/>
          <w:szCs w:val="22"/>
        </w:rPr>
      </w:pPr>
    </w:p>
    <w:p w:rsidR="002339BE" w:rsidRPr="002A1083" w:rsidRDefault="002339BE" w:rsidP="00F01211">
      <w:pPr>
        <w:pStyle w:val="PlainText"/>
        <w:tabs>
          <w:tab w:val="left" w:pos="8571"/>
        </w:tabs>
        <w:rPr>
          <w:rFonts w:cs="Times New Roman"/>
          <w:b/>
          <w:color w:val="auto"/>
          <w:szCs w:val="22"/>
        </w:rPr>
      </w:pPr>
      <w:r w:rsidRPr="002A1083">
        <w:rPr>
          <w:rFonts w:cs="Times New Roman"/>
          <w:b/>
          <w:color w:val="auto"/>
          <w:szCs w:val="22"/>
        </w:rPr>
        <w:t>Question 2:</w:t>
      </w:r>
    </w:p>
    <w:p w:rsidR="002339BE" w:rsidRPr="002A1083" w:rsidRDefault="002339BE" w:rsidP="00F01211">
      <w:pPr>
        <w:pStyle w:val="PlainText"/>
        <w:tabs>
          <w:tab w:val="left" w:pos="8571"/>
        </w:tabs>
        <w:rPr>
          <w:rFonts w:cs="Times New Roman"/>
          <w:b/>
          <w:color w:val="auto"/>
          <w:szCs w:val="22"/>
        </w:rPr>
      </w:pPr>
    </w:p>
    <w:p w:rsidR="0011108D" w:rsidRPr="002A1083" w:rsidRDefault="0011108D" w:rsidP="0011108D">
      <w:pPr>
        <w:pStyle w:val="PlainText"/>
        <w:tabs>
          <w:tab w:val="left" w:pos="8571"/>
        </w:tabs>
        <w:rPr>
          <w:rFonts w:cs="Times New Roman"/>
          <w:color w:val="auto"/>
          <w:szCs w:val="22"/>
        </w:rPr>
      </w:pPr>
      <w:r w:rsidRPr="002A1083">
        <w:rPr>
          <w:rFonts w:cs="Times New Roman"/>
          <w:color w:val="auto"/>
          <w:szCs w:val="22"/>
        </w:rPr>
        <w:t xml:space="preserve">In her article “Dabaadendiziwin:  Practices of Humility in a Multi-Juridical Legal Landscape,” Lindsay Borrows writes that one way to think of humility is as the “condition of being teachable.”  As a law student, what practices and habits can you cultivate to become more teachable?  </w:t>
      </w:r>
    </w:p>
    <w:p w:rsidR="001A550C" w:rsidRPr="002A1083" w:rsidRDefault="001A550C" w:rsidP="0054332D">
      <w:pPr>
        <w:autoSpaceDE w:val="0"/>
        <w:autoSpaceDN w:val="0"/>
        <w:adjustRightInd w:val="0"/>
        <w:spacing w:line="240" w:lineRule="auto"/>
        <w:rPr>
          <w:rFonts w:cs="Times New Roman"/>
        </w:rPr>
      </w:pPr>
    </w:p>
    <w:p w:rsidR="00242742" w:rsidRPr="002A1083" w:rsidRDefault="00242742" w:rsidP="0054332D">
      <w:pPr>
        <w:spacing w:line="240" w:lineRule="auto"/>
        <w:rPr>
          <w:rFonts w:cs="Times New Roman"/>
          <w:b/>
        </w:rPr>
      </w:pPr>
      <w:r w:rsidRPr="002A1083">
        <w:rPr>
          <w:rFonts w:cs="Times New Roman"/>
          <w:b/>
        </w:rPr>
        <w:t xml:space="preserve">Question </w:t>
      </w:r>
      <w:r w:rsidR="002339BE" w:rsidRPr="002A1083">
        <w:rPr>
          <w:rFonts w:cs="Times New Roman"/>
          <w:b/>
        </w:rPr>
        <w:t>3</w:t>
      </w:r>
      <w:r w:rsidRPr="002A1083">
        <w:rPr>
          <w:rFonts w:cs="Times New Roman"/>
          <w:b/>
        </w:rPr>
        <w:t>:</w:t>
      </w:r>
      <w:bookmarkStart w:id="0" w:name="_GoBack"/>
      <w:bookmarkEnd w:id="0"/>
    </w:p>
    <w:p w:rsidR="00553C99" w:rsidRPr="002A1083" w:rsidRDefault="00553C99" w:rsidP="0054332D">
      <w:pPr>
        <w:spacing w:line="240" w:lineRule="auto"/>
        <w:rPr>
          <w:rFonts w:cs="Times New Roman"/>
          <w:b/>
        </w:rPr>
      </w:pPr>
    </w:p>
    <w:p w:rsidR="001D7EB3" w:rsidRPr="002A1083" w:rsidRDefault="002A1083" w:rsidP="0054332D">
      <w:pPr>
        <w:autoSpaceDE w:val="0"/>
        <w:autoSpaceDN w:val="0"/>
        <w:adjustRightInd w:val="0"/>
        <w:spacing w:line="240" w:lineRule="auto"/>
        <w:rPr>
          <w:rFonts w:cs="Times New Roman"/>
        </w:rPr>
      </w:pPr>
      <w:r w:rsidRPr="002A1083">
        <w:rPr>
          <w:rFonts w:cs="Times New Roman"/>
        </w:rPr>
        <w:t>How do you think being an admitted member of the Law Society will change your conception of a “private” self and a “public” self?  Will you have obligations in your personal life af</w:t>
      </w:r>
      <w:r w:rsidR="001149E2">
        <w:rPr>
          <w:rFonts w:cs="Times New Roman"/>
        </w:rPr>
        <w:t xml:space="preserve">ter you are admitted, or even starting now, </w:t>
      </w:r>
      <w:r w:rsidRPr="002A1083">
        <w:rPr>
          <w:rFonts w:cs="Times New Roman"/>
        </w:rPr>
        <w:t>that you did not have before you started law school?  Can you think of an example of something that might be all right for a non-lawyer to do in his personal life that you would not recommend a lawyer do in her personal life?</w:t>
      </w:r>
    </w:p>
    <w:p w:rsidR="002A1083" w:rsidRPr="002A1083" w:rsidRDefault="002A1083" w:rsidP="0054332D">
      <w:pPr>
        <w:autoSpaceDE w:val="0"/>
        <w:autoSpaceDN w:val="0"/>
        <w:adjustRightInd w:val="0"/>
        <w:spacing w:line="240" w:lineRule="auto"/>
        <w:rPr>
          <w:rFonts w:cs="Times New Roman"/>
        </w:rPr>
      </w:pPr>
    </w:p>
    <w:p w:rsidR="00242742" w:rsidRPr="002A1083" w:rsidRDefault="00242742" w:rsidP="00242742">
      <w:pPr>
        <w:rPr>
          <w:rFonts w:cs="Times New Roman"/>
          <w:b/>
        </w:rPr>
      </w:pPr>
      <w:r w:rsidRPr="002A1083">
        <w:rPr>
          <w:rFonts w:cs="Times New Roman"/>
          <w:b/>
        </w:rPr>
        <w:t>Question 4:</w:t>
      </w:r>
    </w:p>
    <w:p w:rsidR="00553C99" w:rsidRPr="002A1083" w:rsidRDefault="00553C99" w:rsidP="00242742">
      <w:pPr>
        <w:rPr>
          <w:rFonts w:cs="Times New Roman"/>
          <w:b/>
        </w:rPr>
      </w:pPr>
    </w:p>
    <w:p w:rsidR="002339BE" w:rsidRPr="002A1083" w:rsidRDefault="002A1083" w:rsidP="00242742">
      <w:pPr>
        <w:rPr>
          <w:rFonts w:cs="Times New Roman"/>
        </w:rPr>
      </w:pPr>
      <w:r w:rsidRPr="002A1083">
        <w:rPr>
          <w:rFonts w:cs="Times New Roman"/>
        </w:rPr>
        <w:t>How would you connect Lindsay Borrows’ article on practicing law with humility to the climate change movement?</w:t>
      </w:r>
    </w:p>
    <w:p w:rsidR="0003382C" w:rsidRPr="002A1083" w:rsidRDefault="0003382C" w:rsidP="00242742">
      <w:pPr>
        <w:rPr>
          <w:rFonts w:cs="Times New Roman"/>
        </w:rPr>
      </w:pPr>
    </w:p>
    <w:p w:rsidR="0003382C" w:rsidRPr="002A1083" w:rsidRDefault="0003382C" w:rsidP="00242742">
      <w:pPr>
        <w:rPr>
          <w:rFonts w:cs="Times New Roman"/>
        </w:rPr>
      </w:pPr>
    </w:p>
    <w:p w:rsidR="0003382C" w:rsidRPr="002A1083" w:rsidRDefault="0003382C" w:rsidP="00242742">
      <w:pPr>
        <w:rPr>
          <w:rFonts w:cs="Times New Roman"/>
        </w:rPr>
      </w:pPr>
    </w:p>
    <w:p w:rsidR="0003382C" w:rsidRPr="00C370FE" w:rsidRDefault="0003382C" w:rsidP="001149E2">
      <w:pPr>
        <w:rPr>
          <w:sz w:val="20"/>
          <w:szCs w:val="20"/>
        </w:rPr>
      </w:pPr>
      <w:r w:rsidRPr="002A1083">
        <w:rPr>
          <w:rFonts w:cs="Times New Roman"/>
        </w:rPr>
        <w:t>[</w:t>
      </w:r>
      <w:r w:rsidR="002A1083">
        <w:rPr>
          <w:rFonts w:cs="Times New Roman"/>
        </w:rPr>
        <w:t xml:space="preserve">We welcome your feedback on </w:t>
      </w:r>
      <w:r w:rsidR="001149E2">
        <w:rPr>
          <w:rFonts w:cs="Times New Roman"/>
        </w:rPr>
        <w:t>this</w:t>
      </w:r>
      <w:r w:rsidR="002A1083">
        <w:rPr>
          <w:rFonts w:cs="Times New Roman"/>
        </w:rPr>
        <w:t xml:space="preserve"> session, and</w:t>
      </w:r>
      <w:r w:rsidR="001149E2">
        <w:rPr>
          <w:rFonts w:cs="Times New Roman"/>
        </w:rPr>
        <w:t xml:space="preserve"> your</w:t>
      </w:r>
      <w:r w:rsidR="002A1083">
        <w:rPr>
          <w:rFonts w:cs="Times New Roman"/>
        </w:rPr>
        <w:t xml:space="preserve"> thoughts about future sessions you would like to see.  Please include your feedback in a section labelled “feedback,” and exclude that section from your word count.  </w:t>
      </w:r>
      <w:r w:rsidR="001149E2">
        <w:rPr>
          <w:rFonts w:cs="Times New Roman"/>
        </w:rPr>
        <w:t>Or, y</w:t>
      </w:r>
      <w:r w:rsidR="00256D47">
        <w:rPr>
          <w:rFonts w:cs="Times New Roman"/>
        </w:rPr>
        <w:t xml:space="preserve">ou can drop off printed comments to the Records Office if you prefer.  </w:t>
      </w:r>
      <w:r w:rsidRPr="002A1083">
        <w:rPr>
          <w:rFonts w:cs="Times New Roman"/>
        </w:rPr>
        <w:t>Thank you!]</w:t>
      </w:r>
    </w:p>
    <w:p w:rsidR="0003382C" w:rsidRPr="002339BE" w:rsidRDefault="0003382C" w:rsidP="0003382C">
      <w:pPr>
        <w:rPr>
          <w:rFonts w:cs="Times New Roman"/>
          <w:sz w:val="20"/>
          <w:szCs w:val="20"/>
        </w:rPr>
      </w:pPr>
    </w:p>
    <w:sectPr w:rsidR="0003382C" w:rsidRPr="002339B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2D" w:rsidRDefault="0054332D" w:rsidP="0054332D">
      <w:pPr>
        <w:spacing w:line="240" w:lineRule="auto"/>
      </w:pPr>
      <w:r>
        <w:separator/>
      </w:r>
    </w:p>
  </w:endnote>
  <w:endnote w:type="continuationSeparator" w:id="0">
    <w:p w:rsidR="0054332D" w:rsidRDefault="0054332D" w:rsidP="00543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49183"/>
      <w:docPartObj>
        <w:docPartGallery w:val="Page Numbers (Bottom of Page)"/>
        <w:docPartUnique/>
      </w:docPartObj>
    </w:sdtPr>
    <w:sdtEndPr>
      <w:rPr>
        <w:noProof/>
      </w:rPr>
    </w:sdtEndPr>
    <w:sdtContent>
      <w:p w:rsidR="0054332D" w:rsidRDefault="0054332D">
        <w:pPr>
          <w:pStyle w:val="Footer"/>
          <w:jc w:val="right"/>
        </w:pPr>
        <w:r>
          <w:fldChar w:fldCharType="begin"/>
        </w:r>
        <w:r>
          <w:instrText xml:space="preserve"> PAGE   \* MERGEFORMAT </w:instrText>
        </w:r>
        <w:r>
          <w:fldChar w:fldCharType="separate"/>
        </w:r>
        <w:r w:rsidR="001149E2">
          <w:rPr>
            <w:noProof/>
          </w:rPr>
          <w:t>1</w:t>
        </w:r>
        <w:r>
          <w:rPr>
            <w:noProof/>
          </w:rPr>
          <w:fldChar w:fldCharType="end"/>
        </w:r>
      </w:p>
    </w:sdtContent>
  </w:sdt>
  <w:p w:rsidR="0054332D" w:rsidRDefault="00543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2D" w:rsidRDefault="0054332D" w:rsidP="0054332D">
      <w:pPr>
        <w:spacing w:line="240" w:lineRule="auto"/>
      </w:pPr>
      <w:r>
        <w:separator/>
      </w:r>
    </w:p>
  </w:footnote>
  <w:footnote w:type="continuationSeparator" w:id="0">
    <w:p w:rsidR="0054332D" w:rsidRDefault="0054332D" w:rsidP="005433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C16"/>
    <w:multiLevelType w:val="hybridMultilevel"/>
    <w:tmpl w:val="9A0C2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987918"/>
    <w:multiLevelType w:val="hybridMultilevel"/>
    <w:tmpl w:val="9A0C2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296CAD"/>
    <w:multiLevelType w:val="hybridMultilevel"/>
    <w:tmpl w:val="9A0C2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63"/>
    <w:rsid w:val="0003382C"/>
    <w:rsid w:val="0011108D"/>
    <w:rsid w:val="001149E2"/>
    <w:rsid w:val="001A550C"/>
    <w:rsid w:val="001D7EB3"/>
    <w:rsid w:val="002339BE"/>
    <w:rsid w:val="00242742"/>
    <w:rsid w:val="00256D47"/>
    <w:rsid w:val="00263BA2"/>
    <w:rsid w:val="002A1083"/>
    <w:rsid w:val="002C18B3"/>
    <w:rsid w:val="002F78F4"/>
    <w:rsid w:val="003372A4"/>
    <w:rsid w:val="0054332D"/>
    <w:rsid w:val="00553C99"/>
    <w:rsid w:val="005756FB"/>
    <w:rsid w:val="0058137F"/>
    <w:rsid w:val="00696612"/>
    <w:rsid w:val="006C30F9"/>
    <w:rsid w:val="006F499F"/>
    <w:rsid w:val="00A533F2"/>
    <w:rsid w:val="00B47A4B"/>
    <w:rsid w:val="00E118EA"/>
    <w:rsid w:val="00EC54C1"/>
    <w:rsid w:val="00F01211"/>
    <w:rsid w:val="00F05A63"/>
    <w:rsid w:val="00F91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1A8D"/>
  <w15:chartTrackingRefBased/>
  <w15:docId w15:val="{A8CF2CA0-65E4-4CFD-A033-AD995A49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FB"/>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A4"/>
    <w:pPr>
      <w:spacing w:line="240" w:lineRule="auto"/>
      <w:ind w:left="720"/>
      <w:contextualSpacing/>
    </w:pPr>
    <w:rPr>
      <w:rFonts w:asciiTheme="minorHAnsi" w:eastAsiaTheme="minorEastAsia" w:hAnsiTheme="minorHAnsi"/>
      <w:sz w:val="24"/>
      <w:szCs w:val="24"/>
    </w:rPr>
  </w:style>
  <w:style w:type="paragraph" w:customStyle="1" w:styleId="Default">
    <w:name w:val="Default"/>
    <w:rsid w:val="00242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332D"/>
    <w:pPr>
      <w:tabs>
        <w:tab w:val="center" w:pos="4680"/>
        <w:tab w:val="right" w:pos="9360"/>
      </w:tabs>
      <w:spacing w:line="240" w:lineRule="auto"/>
    </w:pPr>
  </w:style>
  <w:style w:type="character" w:customStyle="1" w:styleId="HeaderChar">
    <w:name w:val="Header Char"/>
    <w:basedOn w:val="DefaultParagraphFont"/>
    <w:link w:val="Header"/>
    <w:uiPriority w:val="99"/>
    <w:rsid w:val="0054332D"/>
    <w:rPr>
      <w:rFonts w:ascii="Times New Roman" w:hAnsi="Times New Roman"/>
    </w:rPr>
  </w:style>
  <w:style w:type="paragraph" w:styleId="Footer">
    <w:name w:val="footer"/>
    <w:basedOn w:val="Normal"/>
    <w:link w:val="FooterChar"/>
    <w:uiPriority w:val="99"/>
    <w:unhideWhenUsed/>
    <w:rsid w:val="0054332D"/>
    <w:pPr>
      <w:tabs>
        <w:tab w:val="center" w:pos="4680"/>
        <w:tab w:val="right" w:pos="9360"/>
      </w:tabs>
      <w:spacing w:line="240" w:lineRule="auto"/>
    </w:pPr>
  </w:style>
  <w:style w:type="character" w:customStyle="1" w:styleId="FooterChar">
    <w:name w:val="Footer Char"/>
    <w:basedOn w:val="DefaultParagraphFont"/>
    <w:link w:val="Footer"/>
    <w:uiPriority w:val="99"/>
    <w:rsid w:val="0054332D"/>
    <w:rPr>
      <w:rFonts w:ascii="Times New Roman" w:hAnsi="Times New Roman"/>
    </w:rPr>
  </w:style>
  <w:style w:type="paragraph" w:styleId="PlainText">
    <w:name w:val="Plain Text"/>
    <w:basedOn w:val="Normal"/>
    <w:link w:val="PlainTextChar"/>
    <w:uiPriority w:val="99"/>
    <w:unhideWhenUsed/>
    <w:rsid w:val="0054332D"/>
    <w:pPr>
      <w:spacing w:line="240" w:lineRule="auto"/>
    </w:pPr>
    <w:rPr>
      <w:color w:val="002060"/>
      <w:szCs w:val="21"/>
    </w:rPr>
  </w:style>
  <w:style w:type="character" w:customStyle="1" w:styleId="PlainTextChar">
    <w:name w:val="Plain Text Char"/>
    <w:basedOn w:val="DefaultParagraphFont"/>
    <w:link w:val="PlainText"/>
    <w:uiPriority w:val="99"/>
    <w:rsid w:val="0054332D"/>
    <w:rPr>
      <w:rFonts w:ascii="Times New Roman" w:hAnsi="Times New Roman"/>
      <w:color w:val="002060"/>
      <w:szCs w:val="21"/>
    </w:rPr>
  </w:style>
  <w:style w:type="table" w:styleId="TableGrid">
    <w:name w:val="Table Grid"/>
    <w:basedOn w:val="TableNormal"/>
    <w:rsid w:val="0003382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6810">
      <w:bodyDiv w:val="1"/>
      <w:marLeft w:val="0"/>
      <w:marRight w:val="0"/>
      <w:marTop w:val="0"/>
      <w:marBottom w:val="0"/>
      <w:divBdr>
        <w:top w:val="none" w:sz="0" w:space="0" w:color="auto"/>
        <w:left w:val="none" w:sz="0" w:space="0" w:color="auto"/>
        <w:bottom w:val="none" w:sz="0" w:space="0" w:color="auto"/>
        <w:right w:val="none" w:sz="0" w:space="0" w:color="auto"/>
      </w:divBdr>
    </w:div>
    <w:div w:id="11403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SFAHERTY@law.internal</dc:creator>
  <cp:keywords/>
  <dc:description/>
  <cp:lastModifiedBy>SFAHERTY@law.internal</cp:lastModifiedBy>
  <cp:revision>4</cp:revision>
  <cp:lastPrinted>2017-10-03T20:09:00Z</cp:lastPrinted>
  <dcterms:created xsi:type="dcterms:W3CDTF">2019-10-04T16:05:00Z</dcterms:created>
  <dcterms:modified xsi:type="dcterms:W3CDTF">2019-10-04T16:46:00Z</dcterms:modified>
</cp:coreProperties>
</file>